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E9" w:rsidRDefault="007C3915">
      <w:pPr>
        <w:adjustRightInd w:val="0"/>
        <w:snapToGrid w:val="0"/>
        <w:spacing w:afterLines="100" w:after="312"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5F1DE9" w:rsidRDefault="007C3915">
      <w:pPr>
        <w:spacing w:line="560" w:lineRule="exact"/>
        <w:ind w:firstLineChars="83" w:firstLine="299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安徽三联学院实验室安全分级表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95"/>
        <w:gridCol w:w="7027"/>
      </w:tblGrid>
      <w:tr w:rsidR="005F1DE9">
        <w:trPr>
          <w:cantSplit/>
          <w:tblHeader/>
          <w:jc w:val="center"/>
        </w:trPr>
        <w:tc>
          <w:tcPr>
            <w:tcW w:w="1495" w:type="dxa"/>
          </w:tcPr>
          <w:p w:rsidR="005F1DE9" w:rsidRDefault="007C3915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安全级别</w:t>
            </w:r>
          </w:p>
        </w:tc>
        <w:tc>
          <w:tcPr>
            <w:tcW w:w="7027" w:type="dxa"/>
          </w:tcPr>
          <w:p w:rsidR="005F1DE9" w:rsidRDefault="007C3915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参考分级依据</w:t>
            </w:r>
          </w:p>
        </w:tc>
      </w:tr>
      <w:tr w:rsidR="005F1DE9">
        <w:trPr>
          <w:cantSplit/>
          <w:jc w:val="center"/>
        </w:trPr>
        <w:tc>
          <w:tcPr>
            <w:tcW w:w="1495" w:type="dxa"/>
            <w:vMerge w:val="restart"/>
            <w:vAlign w:val="center"/>
          </w:tcPr>
          <w:p w:rsidR="005F1DE9" w:rsidRDefault="007C391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Ⅰ级/红色级实验室（重大风险实验室）</w:t>
            </w:r>
          </w:p>
        </w:tc>
        <w:tc>
          <w:tcPr>
            <w:tcW w:w="7027" w:type="dxa"/>
          </w:tcPr>
          <w:p w:rsidR="005F1DE9" w:rsidRDefault="007C3915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实验室有以下情况之一的：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实验原料或产物含剧毒化学成分；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使用剧毒化学品；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存储第一类易制毒品、第一类精神药品；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存储易燃易爆化学品总量大于50kg或50L；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存储有毒、易燃气体总量≥6瓶；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生物安全BSL-3、ABSL-3、BSL-4、ABSL-4实验室；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使用I、II类射线设备；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使用放射性同位素、放射源、核材料；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使用机电类特种设备；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使用超高压等第三类压力容器；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使用强磁、强电设备；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使用4、3R、3B类激光设备；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使用富氧涉爆实验室自制设备；</w:t>
            </w:r>
          </w:p>
          <w:p w:rsidR="005F1DE9" w:rsidRDefault="007C3915">
            <w:pPr>
              <w:pStyle w:val="ae"/>
              <w:numPr>
                <w:ilvl w:val="0"/>
                <w:numId w:val="1"/>
              </w:numPr>
              <w:spacing w:line="280" w:lineRule="exact"/>
              <w:ind w:left="0"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二级单位自行规定的其他情况</w:t>
            </w:r>
          </w:p>
        </w:tc>
      </w:tr>
      <w:tr w:rsidR="005F1DE9">
        <w:trPr>
          <w:cantSplit/>
          <w:jc w:val="center"/>
        </w:trPr>
        <w:tc>
          <w:tcPr>
            <w:tcW w:w="1495" w:type="dxa"/>
            <w:vMerge/>
            <w:vAlign w:val="center"/>
          </w:tcPr>
          <w:p w:rsidR="005F1DE9" w:rsidRDefault="005F1DE9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27" w:type="dxa"/>
          </w:tcPr>
          <w:p w:rsidR="005F1DE9" w:rsidRDefault="007C3915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按照《安徽三联学院实验室安全风险评价表》评分达到100分的实验室</w:t>
            </w:r>
          </w:p>
        </w:tc>
      </w:tr>
      <w:tr w:rsidR="005F1DE9">
        <w:trPr>
          <w:cantSplit/>
          <w:jc w:val="center"/>
        </w:trPr>
        <w:tc>
          <w:tcPr>
            <w:tcW w:w="1495" w:type="dxa"/>
            <w:vMerge w:val="restart"/>
            <w:vAlign w:val="center"/>
          </w:tcPr>
          <w:p w:rsidR="005F1DE9" w:rsidRDefault="007C391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Ⅱ级/橙色级实验室（高风险实验室）</w:t>
            </w:r>
          </w:p>
        </w:tc>
        <w:tc>
          <w:tcPr>
            <w:tcW w:w="7027" w:type="dxa"/>
          </w:tcPr>
          <w:p w:rsidR="005F1DE9" w:rsidRDefault="007C3915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实验室有以下情况之一的：</w:t>
            </w:r>
          </w:p>
          <w:p w:rsidR="005F1DE9" w:rsidRDefault="007C3915">
            <w:pPr>
              <w:pStyle w:val="ae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存储第二类精神药品；</w:t>
            </w:r>
          </w:p>
          <w:p w:rsidR="005F1DE9" w:rsidRDefault="007C3915">
            <w:pPr>
              <w:pStyle w:val="ae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存储易燃易爆化学品总量为20～50kg或20～50L；</w:t>
            </w:r>
          </w:p>
          <w:p w:rsidR="005F1DE9" w:rsidRDefault="007C3915">
            <w:pPr>
              <w:pStyle w:val="ae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存储有毒、易燃气体总量为3~6（不含）瓶；</w:t>
            </w:r>
          </w:p>
          <w:p w:rsidR="005F1DE9" w:rsidRDefault="007C3915">
            <w:pPr>
              <w:pStyle w:val="ae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生物安全BSL-2、ABSL-2实验室；</w:t>
            </w:r>
          </w:p>
          <w:p w:rsidR="005F1DE9" w:rsidRDefault="007C3915">
            <w:pPr>
              <w:pStyle w:val="ae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使用第一类、第二类压力容器；</w:t>
            </w:r>
          </w:p>
          <w:p w:rsidR="005F1DE9" w:rsidRDefault="007C3915">
            <w:pPr>
              <w:pStyle w:val="ae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二级单位自行规定的其他情况</w:t>
            </w:r>
          </w:p>
        </w:tc>
      </w:tr>
      <w:tr w:rsidR="005F1DE9">
        <w:trPr>
          <w:cantSplit/>
          <w:jc w:val="center"/>
        </w:trPr>
        <w:tc>
          <w:tcPr>
            <w:tcW w:w="1495" w:type="dxa"/>
            <w:vMerge/>
            <w:vAlign w:val="center"/>
          </w:tcPr>
          <w:p w:rsidR="005F1DE9" w:rsidRDefault="005F1DE9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27" w:type="dxa"/>
          </w:tcPr>
          <w:p w:rsidR="005F1DE9" w:rsidRDefault="007C3915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按照《安徽三联学院实验室安全风险评价表》评分在[75, 100)范围的实验室</w:t>
            </w:r>
          </w:p>
        </w:tc>
      </w:tr>
      <w:tr w:rsidR="005F1DE9">
        <w:trPr>
          <w:cantSplit/>
          <w:jc w:val="center"/>
        </w:trPr>
        <w:tc>
          <w:tcPr>
            <w:tcW w:w="1495" w:type="dxa"/>
            <w:vMerge w:val="restart"/>
            <w:vAlign w:val="center"/>
          </w:tcPr>
          <w:p w:rsidR="005F1DE9" w:rsidRDefault="007C391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Ⅲ级/黄色级实验室（中风险实验室）</w:t>
            </w:r>
          </w:p>
        </w:tc>
        <w:tc>
          <w:tcPr>
            <w:tcW w:w="7027" w:type="dxa"/>
          </w:tcPr>
          <w:p w:rsidR="005F1DE9" w:rsidRDefault="007C3915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实验室有以下情况之一的：</w:t>
            </w:r>
          </w:p>
          <w:p w:rsidR="005F1DE9" w:rsidRDefault="007C3915">
            <w:pPr>
              <w:pStyle w:val="ae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存储第二/三类易制毒品；</w:t>
            </w:r>
          </w:p>
          <w:p w:rsidR="005F1DE9" w:rsidRDefault="007C3915">
            <w:pPr>
              <w:pStyle w:val="ae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生物安全BSL-1、ABSL-1实验室；</w:t>
            </w:r>
          </w:p>
          <w:p w:rsidR="005F1DE9" w:rsidRDefault="007C3915">
            <w:pPr>
              <w:pStyle w:val="ae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基础设备老化；</w:t>
            </w:r>
          </w:p>
          <w:p w:rsidR="005F1DE9" w:rsidRDefault="007C3915">
            <w:pPr>
              <w:pStyle w:val="ae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二级单位自行规定的其他情况</w:t>
            </w:r>
          </w:p>
        </w:tc>
      </w:tr>
      <w:tr w:rsidR="005F1DE9">
        <w:trPr>
          <w:cantSplit/>
          <w:jc w:val="center"/>
        </w:trPr>
        <w:tc>
          <w:tcPr>
            <w:tcW w:w="1495" w:type="dxa"/>
            <w:vMerge/>
            <w:vAlign w:val="center"/>
          </w:tcPr>
          <w:p w:rsidR="005F1DE9" w:rsidRDefault="005F1DE9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27" w:type="dxa"/>
          </w:tcPr>
          <w:p w:rsidR="005F1DE9" w:rsidRDefault="007C3915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按照《安徽三联学院实验室安全风险评价表》评分在[25, 75)范围的实验室</w:t>
            </w:r>
          </w:p>
        </w:tc>
      </w:tr>
      <w:tr w:rsidR="005F1DE9">
        <w:trPr>
          <w:cantSplit/>
          <w:jc w:val="center"/>
        </w:trPr>
        <w:tc>
          <w:tcPr>
            <w:tcW w:w="1495" w:type="dxa"/>
            <w:vMerge w:val="restart"/>
            <w:vAlign w:val="center"/>
          </w:tcPr>
          <w:p w:rsidR="005F1DE9" w:rsidRDefault="007C391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Ⅳ级/蓝色级实验室（低风险实验室）</w:t>
            </w:r>
          </w:p>
        </w:tc>
        <w:tc>
          <w:tcPr>
            <w:tcW w:w="7027" w:type="dxa"/>
          </w:tcPr>
          <w:p w:rsidR="005F1DE9" w:rsidRDefault="007C3915">
            <w:pPr>
              <w:pStyle w:val="ae"/>
              <w:spacing w:line="280" w:lineRule="exact"/>
              <w:ind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实验室有以下情况之一的：</w:t>
            </w:r>
          </w:p>
          <w:p w:rsidR="005F1DE9" w:rsidRDefault="007C3915">
            <w:pPr>
              <w:pStyle w:val="ae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不涉及重要危险源的实验室；</w:t>
            </w:r>
          </w:p>
          <w:p w:rsidR="005F1DE9" w:rsidRDefault="007C3915">
            <w:pPr>
              <w:pStyle w:val="ae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主要涉及一般性消防安全、用电安全的实验室；</w:t>
            </w:r>
          </w:p>
          <w:p w:rsidR="005F1DE9" w:rsidRDefault="007C3915">
            <w:pPr>
              <w:pStyle w:val="ae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二级单位自行规定的其他情况</w:t>
            </w:r>
          </w:p>
        </w:tc>
      </w:tr>
      <w:tr w:rsidR="005F1DE9">
        <w:trPr>
          <w:cantSplit/>
          <w:jc w:val="center"/>
        </w:trPr>
        <w:tc>
          <w:tcPr>
            <w:tcW w:w="1495" w:type="dxa"/>
            <w:vMerge/>
          </w:tcPr>
          <w:p w:rsidR="005F1DE9" w:rsidRDefault="005F1DE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27" w:type="dxa"/>
          </w:tcPr>
          <w:p w:rsidR="005F1DE9" w:rsidRDefault="007C3915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按照《安徽三联学院实验室安全风险评价表》评分在[0, 25)范围的实验室</w:t>
            </w:r>
          </w:p>
        </w:tc>
      </w:tr>
    </w:tbl>
    <w:p w:rsidR="005F1DE9" w:rsidRDefault="007C3915">
      <w:pPr>
        <w:spacing w:line="280" w:lineRule="exact"/>
        <w:ind w:left="630" w:hangingChars="300" w:hanging="63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注：1.实验室分级先按表中各级实验室所对应的参考情况划分，无所列情况的，按《安徽三联学院实验室安全风险评价表》进行累计评分确定等级。</w:t>
      </w:r>
    </w:p>
    <w:p w:rsidR="005F1DE9" w:rsidRDefault="007C3915" w:rsidP="006E772A">
      <w:pPr>
        <w:spacing w:line="280" w:lineRule="exact"/>
        <w:ind w:leftChars="200" w:left="630" w:hangingChars="100" w:hanging="210"/>
        <w:rPr>
          <w:rFonts w:ascii="Times New Roman" w:eastAsia="仿宋_GB2312" w:hAnsi="Times New Roman"/>
          <w:szCs w:val="21"/>
        </w:rPr>
      </w:pPr>
      <w:r>
        <w:rPr>
          <w:rFonts w:ascii="仿宋" w:eastAsia="仿宋" w:hAnsi="仿宋" w:cs="仿宋" w:hint="eastAsia"/>
          <w:szCs w:val="21"/>
        </w:rPr>
        <w:t>2.对于既有本表所列参考情况，又有《安徽三联学院实验室安全风险评价表》所列危险源的，取两者较高者所对应的实验室等级。</w:t>
      </w:r>
      <w:r>
        <w:rPr>
          <w:rFonts w:ascii="Times New Roman" w:eastAsia="仿宋_GB2312" w:hAnsi="Times New Roman"/>
          <w:szCs w:val="21"/>
        </w:rPr>
        <w:br w:type="page"/>
      </w:r>
    </w:p>
    <w:p w:rsidR="005F1DE9" w:rsidRDefault="007C3915">
      <w:pPr>
        <w:adjustRightInd w:val="0"/>
        <w:snapToGrid w:val="0"/>
        <w:spacing w:afterLines="100" w:after="312"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5F1DE9" w:rsidRDefault="007C3915">
      <w:pPr>
        <w:spacing w:line="560" w:lineRule="exact"/>
        <w:ind w:firstLineChars="83" w:firstLine="299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安徽三联学院实验室安全风险评价表</w:t>
      </w:r>
    </w:p>
    <w:tbl>
      <w:tblPr>
        <w:tblStyle w:val="ad"/>
        <w:tblW w:w="9351" w:type="dxa"/>
        <w:jc w:val="center"/>
        <w:tblLook w:val="04A0" w:firstRow="1" w:lastRow="0" w:firstColumn="1" w:lastColumn="0" w:noHBand="0" w:noVBand="1"/>
      </w:tblPr>
      <w:tblGrid>
        <w:gridCol w:w="1059"/>
        <w:gridCol w:w="8292"/>
      </w:tblGrid>
      <w:tr w:rsidR="005F1DE9">
        <w:trPr>
          <w:trHeight w:val="418"/>
          <w:tblHeader/>
          <w:jc w:val="center"/>
        </w:trPr>
        <w:tc>
          <w:tcPr>
            <w:tcW w:w="1059" w:type="dxa"/>
            <w:vAlign w:val="center"/>
          </w:tcPr>
          <w:p w:rsidR="005F1DE9" w:rsidRDefault="007C3915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每项计分</w:t>
            </w:r>
          </w:p>
        </w:tc>
        <w:tc>
          <w:tcPr>
            <w:tcW w:w="8292" w:type="dxa"/>
            <w:vAlign w:val="center"/>
          </w:tcPr>
          <w:p w:rsidR="005F1DE9" w:rsidRDefault="007C3915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风险源</w:t>
            </w:r>
          </w:p>
        </w:tc>
      </w:tr>
      <w:tr w:rsidR="005F1DE9">
        <w:trPr>
          <w:jc w:val="center"/>
        </w:trPr>
        <w:tc>
          <w:tcPr>
            <w:tcW w:w="1059" w:type="dxa"/>
            <w:vAlign w:val="center"/>
          </w:tcPr>
          <w:p w:rsidR="005F1DE9" w:rsidRDefault="007C391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25分</w:t>
            </w:r>
          </w:p>
        </w:tc>
        <w:tc>
          <w:tcPr>
            <w:tcW w:w="8292" w:type="dxa"/>
          </w:tcPr>
          <w:p w:rsidR="005F1DE9" w:rsidRDefault="007C3915">
            <w:pPr>
              <w:pStyle w:val="ae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存储易燃易爆化学品总量在5～20kg或5～20L；</w:t>
            </w:r>
          </w:p>
          <w:p w:rsidR="005F1DE9" w:rsidRDefault="007C3915">
            <w:pPr>
              <w:pStyle w:val="ae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存储一般危化品总量50～100kg或50～100L；</w:t>
            </w:r>
          </w:p>
          <w:p w:rsidR="005F1DE9" w:rsidRDefault="007C3915">
            <w:pPr>
              <w:pStyle w:val="ae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存储有毒、易燃气体总量为2瓶；</w:t>
            </w:r>
          </w:p>
          <w:p w:rsidR="005F1DE9" w:rsidRDefault="007C3915">
            <w:pPr>
              <w:pStyle w:val="ae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使用III类射线设备的数量≥2台；</w:t>
            </w:r>
          </w:p>
          <w:p w:rsidR="005F1DE9" w:rsidRDefault="007C3915">
            <w:pPr>
              <w:pStyle w:val="ae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使用简单压力容器的数量≥3台；</w:t>
            </w:r>
          </w:p>
          <w:p w:rsidR="005F1DE9" w:rsidRDefault="007C3915">
            <w:pPr>
              <w:pStyle w:val="ae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实验室使用危险机加工装置的数量≥3台；</w:t>
            </w:r>
          </w:p>
          <w:p w:rsidR="005F1DE9" w:rsidRDefault="007C3915">
            <w:pPr>
              <w:pStyle w:val="ae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实验室使用加热设备数量≥6台；</w:t>
            </w:r>
          </w:p>
          <w:p w:rsidR="005F1DE9" w:rsidRDefault="007C3915">
            <w:pPr>
              <w:pStyle w:val="ae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实验室每月危险废物产生量≥100 L或kg；</w:t>
            </w:r>
          </w:p>
          <w:p w:rsidR="005F1DE9" w:rsidRDefault="007C3915">
            <w:pPr>
              <w:pStyle w:val="ae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二级单位自行规定的其他情况</w:t>
            </w:r>
          </w:p>
        </w:tc>
      </w:tr>
      <w:tr w:rsidR="005F1DE9">
        <w:trPr>
          <w:jc w:val="center"/>
        </w:trPr>
        <w:tc>
          <w:tcPr>
            <w:tcW w:w="1059" w:type="dxa"/>
            <w:vAlign w:val="center"/>
          </w:tcPr>
          <w:p w:rsidR="005F1DE9" w:rsidRDefault="007C391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10分</w:t>
            </w:r>
          </w:p>
        </w:tc>
        <w:tc>
          <w:tcPr>
            <w:tcW w:w="8292" w:type="dxa"/>
          </w:tcPr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使用超过人体安全电压（36V）的实验；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涉及合成放热实验；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涉及压力实验；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产生易燃气体的实验；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涉及持续加热实验；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使用一般实验室自制设备；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存储易燃易爆化学品＜5kg或5L；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实验室存储一般危化品总量＜50kg或50L；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存储有毒、易燃气体1瓶；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存储或使用有活性的病原微生物，对人或其他动物感染性较弱，或感染后易治愈；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使用简单压力容器1～2台；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使用III类射线设备1台；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使用危险机加工装置1～2台；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使用一般机加工装置的数量≥5台；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实验室一般用电设备负载≥80%设计负载；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使用2、2M、1、1M类激光设备的数量≥3台；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实验室每月危险废物产生量为20~100 L或kg；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实验室使用加热设备数量3～5台；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实验室使用每1台明火设备；</w:t>
            </w:r>
          </w:p>
          <w:p w:rsidR="005F1DE9" w:rsidRDefault="007C3915">
            <w:pPr>
              <w:pStyle w:val="ae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二级单位自行规定的其他情况</w:t>
            </w:r>
          </w:p>
        </w:tc>
      </w:tr>
      <w:tr w:rsidR="005F1DE9">
        <w:trPr>
          <w:jc w:val="center"/>
        </w:trPr>
        <w:tc>
          <w:tcPr>
            <w:tcW w:w="1059" w:type="dxa"/>
            <w:vAlign w:val="center"/>
          </w:tcPr>
          <w:p w:rsidR="005F1DE9" w:rsidRDefault="007C391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5分</w:t>
            </w:r>
          </w:p>
        </w:tc>
        <w:tc>
          <w:tcPr>
            <w:tcW w:w="8292" w:type="dxa"/>
          </w:tcPr>
          <w:p w:rsidR="005F1DE9" w:rsidRDefault="007C3915">
            <w:pPr>
              <w:pStyle w:val="ae"/>
              <w:numPr>
                <w:ilvl w:val="0"/>
                <w:numId w:val="7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存储普通气体1~4瓶；</w:t>
            </w:r>
          </w:p>
          <w:p w:rsidR="005F1DE9" w:rsidRDefault="007C3915">
            <w:pPr>
              <w:pStyle w:val="ae"/>
              <w:numPr>
                <w:ilvl w:val="0"/>
                <w:numId w:val="7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使用一般机加工装置1～4台；</w:t>
            </w:r>
          </w:p>
          <w:p w:rsidR="005F1DE9" w:rsidRDefault="007C3915">
            <w:pPr>
              <w:pStyle w:val="ae"/>
              <w:numPr>
                <w:ilvl w:val="0"/>
                <w:numId w:val="7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使用2、2M、1、1M类激光设备1～2台；</w:t>
            </w:r>
          </w:p>
          <w:p w:rsidR="005F1DE9" w:rsidRDefault="007C3915">
            <w:pPr>
              <w:pStyle w:val="ae"/>
              <w:numPr>
                <w:ilvl w:val="0"/>
                <w:numId w:val="7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实验室每月危险废物产生量＜20 L或kg；</w:t>
            </w:r>
          </w:p>
          <w:p w:rsidR="005F1DE9" w:rsidRDefault="007C3915">
            <w:pPr>
              <w:pStyle w:val="ae"/>
              <w:numPr>
                <w:ilvl w:val="0"/>
                <w:numId w:val="7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实验室使用加热设备数量1～2台；</w:t>
            </w:r>
          </w:p>
          <w:p w:rsidR="005F1DE9" w:rsidRDefault="007C3915">
            <w:pPr>
              <w:pStyle w:val="ae"/>
              <w:numPr>
                <w:ilvl w:val="0"/>
                <w:numId w:val="7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存放危险化学品的防爆冰箱或经防爆改造冰箱数量每1台；</w:t>
            </w:r>
          </w:p>
          <w:p w:rsidR="005F1DE9" w:rsidRDefault="007C3915">
            <w:pPr>
              <w:pStyle w:val="ae"/>
              <w:numPr>
                <w:ilvl w:val="0"/>
                <w:numId w:val="7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实验室使用每1台快捷电热设备；</w:t>
            </w:r>
          </w:p>
          <w:p w:rsidR="005F1DE9" w:rsidRDefault="007C3915">
            <w:pPr>
              <w:pStyle w:val="ae"/>
              <w:numPr>
                <w:ilvl w:val="0"/>
                <w:numId w:val="7"/>
              </w:numPr>
              <w:spacing w:line="280" w:lineRule="exact"/>
              <w:ind w:firstLineChars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二级单位自行规定的其他情况</w:t>
            </w:r>
          </w:p>
        </w:tc>
      </w:tr>
    </w:tbl>
    <w:p w:rsidR="005F1DE9" w:rsidRDefault="007C3915">
      <w:pPr>
        <w:spacing w:line="28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注：1.表中所称实验室房间均以面积为50m</w:t>
      </w:r>
      <w:r>
        <w:rPr>
          <w:rFonts w:ascii="仿宋" w:eastAsia="仿宋" w:hAnsi="仿宋" w:cs="仿宋" w:hint="eastAsia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Cs w:val="21"/>
        </w:rPr>
        <w:t>计，其他面积可按比例调整评价内容；</w:t>
      </w:r>
    </w:p>
    <w:p w:rsidR="005F1DE9" w:rsidRDefault="007C3915">
      <w:pPr>
        <w:spacing w:line="28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ab/>
        <w:t>2.表中符合任1种情况计相应分数，符合多种情况，分数累加计算，最高100分；</w:t>
      </w:r>
    </w:p>
    <w:p w:rsidR="005F1DE9" w:rsidRDefault="007C3915">
      <w:pPr>
        <w:spacing w:line="28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ab/>
        <w:t>3.实验室自制设备，是指由使用人自行或者委托其他单位进行设计、制造、安装的，并</w:t>
      </w:r>
    </w:p>
    <w:p w:rsidR="005F1DE9" w:rsidRDefault="007C3915">
      <w:pPr>
        <w:spacing w:line="280" w:lineRule="exact"/>
        <w:ind w:firstLineChars="300" w:firstLine="630"/>
        <w:rPr>
          <w:rFonts w:ascii="Times New Roman" w:eastAsia="仿宋_GB2312" w:hAnsi="Times New Roman"/>
          <w:szCs w:val="21"/>
        </w:rPr>
        <w:sectPr w:rsidR="005F1DE9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Cs w:val="21"/>
        </w:rPr>
        <w:t>以其为载体进行实验活动的非标设备；对标准设备进行改造也参照自制设备进行管理。</w:t>
      </w:r>
    </w:p>
    <w:p w:rsidR="005F1DE9" w:rsidRDefault="007C3915">
      <w:pPr>
        <w:adjustRightInd w:val="0"/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5F1DE9" w:rsidRDefault="005F1DE9">
      <w:pPr>
        <w:adjustRightInd w:val="0"/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5F1DE9" w:rsidRDefault="007C3915">
      <w:pPr>
        <w:spacing w:line="560" w:lineRule="exact"/>
        <w:ind w:firstLineChars="83" w:firstLine="299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安徽三联学院实验室分类参照表</w:t>
      </w:r>
    </w:p>
    <w:tbl>
      <w:tblPr>
        <w:tblStyle w:val="ad"/>
        <w:tblW w:w="4959" w:type="pct"/>
        <w:jc w:val="center"/>
        <w:tblLook w:val="04A0" w:firstRow="1" w:lastRow="0" w:firstColumn="1" w:lastColumn="0" w:noHBand="0" w:noVBand="1"/>
      </w:tblPr>
      <w:tblGrid>
        <w:gridCol w:w="1260"/>
        <w:gridCol w:w="2716"/>
        <w:gridCol w:w="10082"/>
      </w:tblGrid>
      <w:tr w:rsidR="005F1DE9">
        <w:trPr>
          <w:trHeight w:val="562"/>
          <w:tblHeader/>
          <w:jc w:val="center"/>
        </w:trPr>
        <w:tc>
          <w:tcPr>
            <w:tcW w:w="448" w:type="pct"/>
            <w:vAlign w:val="center"/>
          </w:tcPr>
          <w:p w:rsidR="005F1DE9" w:rsidRDefault="007C3915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966" w:type="pct"/>
            <w:vAlign w:val="center"/>
          </w:tcPr>
          <w:p w:rsidR="005F1DE9" w:rsidRDefault="007C3915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实验室分类</w:t>
            </w:r>
          </w:p>
        </w:tc>
        <w:tc>
          <w:tcPr>
            <w:tcW w:w="3586" w:type="pct"/>
            <w:vAlign w:val="center"/>
          </w:tcPr>
          <w:p w:rsidR="005F1DE9" w:rsidRDefault="007C3915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分类参照依据</w:t>
            </w:r>
          </w:p>
        </w:tc>
      </w:tr>
      <w:tr w:rsidR="005F1DE9">
        <w:trPr>
          <w:trHeight w:val="1140"/>
          <w:jc w:val="center"/>
        </w:trPr>
        <w:tc>
          <w:tcPr>
            <w:tcW w:w="448" w:type="pct"/>
            <w:vAlign w:val="center"/>
          </w:tcPr>
          <w:p w:rsidR="005F1DE9" w:rsidRDefault="007C391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966" w:type="pct"/>
            <w:vAlign w:val="center"/>
          </w:tcPr>
          <w:p w:rsidR="005F1DE9" w:rsidRDefault="007C391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化学类实验室</w:t>
            </w:r>
          </w:p>
        </w:tc>
        <w:tc>
          <w:tcPr>
            <w:tcW w:w="3586" w:type="pct"/>
            <w:vAlign w:val="center"/>
          </w:tcPr>
          <w:p w:rsidR="005F1DE9" w:rsidRDefault="007C3915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包括从事化学、药学、化学工程、环境科学与工程、材料科学与工程等较多涉及化学试剂或化学反应的实验室。这类实验中的危险源分为两类，一类是易燃、易爆、有毒化学品（含实验气体）可能带来的化学性危险源，另一类是设备设施缺陷和防护缺陷所带来的物理性危险源。</w:t>
            </w:r>
          </w:p>
        </w:tc>
      </w:tr>
      <w:tr w:rsidR="005F1DE9">
        <w:trPr>
          <w:trHeight w:val="1247"/>
          <w:jc w:val="center"/>
        </w:trPr>
        <w:tc>
          <w:tcPr>
            <w:tcW w:w="448" w:type="pct"/>
            <w:vAlign w:val="center"/>
          </w:tcPr>
          <w:p w:rsidR="005F1DE9" w:rsidRDefault="007C391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966" w:type="pct"/>
            <w:vAlign w:val="center"/>
          </w:tcPr>
          <w:p w:rsidR="005F1DE9" w:rsidRDefault="007C391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生物类实验室</w:t>
            </w:r>
          </w:p>
        </w:tc>
        <w:tc>
          <w:tcPr>
            <w:tcW w:w="3586" w:type="pct"/>
            <w:vAlign w:val="center"/>
          </w:tcPr>
          <w:p w:rsidR="005F1DE9" w:rsidRDefault="007C3915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包括从事基因工程、微生物学等生物和医学专业中较多涉及病毒、细菌、真菌等微生物研究和动物研究的实验室。这类实验室中细菌、病毒、真菌、寄生虫、动物寄生微生物等为主要危险源，它们的释放、扩散可能会污染实验室内外环境的空气、水、物体表面或感染人体。涉及病原微生物的实验室应进行相应的审批或备案。</w:t>
            </w:r>
          </w:p>
        </w:tc>
      </w:tr>
      <w:tr w:rsidR="005F1DE9">
        <w:trPr>
          <w:trHeight w:val="1155"/>
          <w:jc w:val="center"/>
        </w:trPr>
        <w:tc>
          <w:tcPr>
            <w:tcW w:w="448" w:type="pct"/>
            <w:vAlign w:val="center"/>
          </w:tcPr>
          <w:p w:rsidR="005F1DE9" w:rsidRDefault="007C391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966" w:type="pct"/>
            <w:vAlign w:val="center"/>
          </w:tcPr>
          <w:p w:rsidR="005F1DE9" w:rsidRDefault="007C391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辐射类实验室</w:t>
            </w:r>
          </w:p>
        </w:tc>
        <w:tc>
          <w:tcPr>
            <w:tcW w:w="3586" w:type="pct"/>
            <w:vAlign w:val="center"/>
          </w:tcPr>
          <w:p w:rsidR="005F1DE9" w:rsidRDefault="007C3915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包括物理、核科学与技术、医学、生物、化学、材料科学与工程等专业方向中涉及放射性同位素、射线装置与核材料的实验室。这类实验中的危险源主要是放射性同位素、射线装置与核材料产生的电离辐射，可能对人体造成内外照射伤害，也可能对环境产生放射性污染；存放或使用核材料的实验室还存在核安全风险。</w:t>
            </w:r>
          </w:p>
        </w:tc>
      </w:tr>
      <w:tr w:rsidR="005F1DE9">
        <w:trPr>
          <w:trHeight w:val="1417"/>
          <w:jc w:val="center"/>
        </w:trPr>
        <w:tc>
          <w:tcPr>
            <w:tcW w:w="448" w:type="pct"/>
            <w:vAlign w:val="center"/>
          </w:tcPr>
          <w:p w:rsidR="005F1DE9" w:rsidRDefault="007C391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966" w:type="pct"/>
            <w:vAlign w:val="center"/>
          </w:tcPr>
          <w:p w:rsidR="005F1DE9" w:rsidRDefault="007C391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机电类实验室</w:t>
            </w:r>
          </w:p>
        </w:tc>
        <w:tc>
          <w:tcPr>
            <w:tcW w:w="3586" w:type="pct"/>
            <w:vAlign w:val="center"/>
          </w:tcPr>
          <w:p w:rsidR="005F1DE9" w:rsidRDefault="007C3915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包括机械设计与制造、过程装备与控制、化工机械、材料物理、电气工程、激光工程和人工智能等专业方向中涉及高温、高压、高速、高大等机械设备及其他强电、强磁、激光或低温设备的实验室，以及大型机房等。这类实验室的主要危险包括夹击、碰撞、剪切、卷入、绞、碾、割、刺等形式的机械伤害以及灼伤、电路短路、人员触电、激光伤害、冻伤等因素。</w:t>
            </w:r>
          </w:p>
        </w:tc>
      </w:tr>
      <w:tr w:rsidR="005F1DE9">
        <w:trPr>
          <w:trHeight w:val="741"/>
          <w:jc w:val="center"/>
        </w:trPr>
        <w:tc>
          <w:tcPr>
            <w:tcW w:w="448" w:type="pct"/>
            <w:vAlign w:val="center"/>
          </w:tcPr>
          <w:p w:rsidR="005F1DE9" w:rsidRDefault="007C391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966" w:type="pct"/>
            <w:vAlign w:val="center"/>
          </w:tcPr>
          <w:p w:rsidR="005F1DE9" w:rsidRDefault="007C391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其他类实验室</w:t>
            </w:r>
          </w:p>
        </w:tc>
        <w:tc>
          <w:tcPr>
            <w:tcW w:w="3586" w:type="pct"/>
            <w:vAlign w:val="center"/>
          </w:tcPr>
          <w:p w:rsidR="005F1DE9" w:rsidRDefault="007C3915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包括社科类、艺术类专业相关的实验室或实训室，危险源主要是少量的用电设备可能带来的用电安全或消防安全风险。</w:t>
            </w:r>
          </w:p>
        </w:tc>
      </w:tr>
    </w:tbl>
    <w:p w:rsidR="005F1DE9" w:rsidRDefault="007C3915">
      <w:pPr>
        <w:adjustRightInd w:val="0"/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5F1DE9" w:rsidRDefault="005F1DE9">
      <w:pPr>
        <w:adjustRightInd w:val="0"/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5F1DE9" w:rsidRDefault="007C3915">
      <w:pPr>
        <w:spacing w:line="560" w:lineRule="exact"/>
        <w:ind w:firstLineChars="83" w:firstLine="365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44"/>
          <w:szCs w:val="44"/>
        </w:rPr>
        <w:t>安徽三联学院实验室分级管理要求参照表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19"/>
        <w:gridCol w:w="3118"/>
        <w:gridCol w:w="2977"/>
        <w:gridCol w:w="2940"/>
      </w:tblGrid>
      <w:tr w:rsidR="005F1DE9">
        <w:trPr>
          <w:tblHeader/>
          <w:jc w:val="center"/>
        </w:trPr>
        <w:tc>
          <w:tcPr>
            <w:tcW w:w="1271" w:type="dxa"/>
            <w:vMerge w:val="restart"/>
            <w:vAlign w:val="center"/>
          </w:tcPr>
          <w:p w:rsidR="005F1DE9" w:rsidRDefault="007C3915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管理要求</w:t>
            </w:r>
          </w:p>
        </w:tc>
        <w:tc>
          <w:tcPr>
            <w:tcW w:w="12154" w:type="dxa"/>
            <w:gridSpan w:val="4"/>
            <w:vAlign w:val="center"/>
          </w:tcPr>
          <w:p w:rsidR="005F1DE9" w:rsidRDefault="007C3915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实验室分级</w:t>
            </w:r>
          </w:p>
        </w:tc>
      </w:tr>
      <w:tr w:rsidR="005F1DE9">
        <w:trPr>
          <w:tblHeader/>
          <w:jc w:val="center"/>
        </w:trPr>
        <w:tc>
          <w:tcPr>
            <w:tcW w:w="1271" w:type="dxa"/>
            <w:vMerge/>
            <w:vAlign w:val="center"/>
          </w:tcPr>
          <w:p w:rsidR="005F1DE9" w:rsidRDefault="005F1DE9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5F1DE9" w:rsidRDefault="007C3915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Ⅰ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级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红色级</w:t>
            </w:r>
          </w:p>
        </w:tc>
        <w:tc>
          <w:tcPr>
            <w:tcW w:w="3118" w:type="dxa"/>
            <w:vAlign w:val="center"/>
          </w:tcPr>
          <w:p w:rsidR="005F1DE9" w:rsidRDefault="007C3915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Ⅱ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级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橙色级</w:t>
            </w:r>
          </w:p>
        </w:tc>
        <w:tc>
          <w:tcPr>
            <w:tcW w:w="2977" w:type="dxa"/>
            <w:vAlign w:val="center"/>
          </w:tcPr>
          <w:p w:rsidR="005F1DE9" w:rsidRDefault="007C3915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Ⅲ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级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黄色级</w:t>
            </w:r>
          </w:p>
        </w:tc>
        <w:tc>
          <w:tcPr>
            <w:tcW w:w="2940" w:type="dxa"/>
            <w:vAlign w:val="center"/>
          </w:tcPr>
          <w:p w:rsidR="005F1DE9" w:rsidRDefault="007C3915">
            <w:pPr>
              <w:spacing w:beforeLines="50" w:before="156" w:afterLines="50" w:after="156" w:line="280" w:lineRule="exact"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Ⅳ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级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蓝色级</w:t>
            </w:r>
          </w:p>
        </w:tc>
      </w:tr>
      <w:tr w:rsidR="005F1DE9">
        <w:trPr>
          <w:trHeight w:val="2111"/>
          <w:jc w:val="center"/>
        </w:trPr>
        <w:tc>
          <w:tcPr>
            <w:tcW w:w="1271" w:type="dxa"/>
            <w:vAlign w:val="center"/>
          </w:tcPr>
          <w:p w:rsidR="005F1DE9" w:rsidRDefault="007C391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安全检查</w:t>
            </w:r>
          </w:p>
        </w:tc>
        <w:tc>
          <w:tcPr>
            <w:tcW w:w="3119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学校党政主要负责人每年牵头开展不少于1次安全检查；学校主管职能部门每月开展不少于1次安全检查；二级单位每周开展不少于1次安全检查；实验室做到“实验结束必巡”</w:t>
            </w:r>
          </w:p>
        </w:tc>
        <w:tc>
          <w:tcPr>
            <w:tcW w:w="3118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分管校领导每年牵头开展不少于1次安全检查；学校主管职能部门每季度开展不少于1次安全检查；二级单位每月开展不少于1次安全检查；实验室做到“实验结束必巡”</w:t>
            </w:r>
          </w:p>
        </w:tc>
        <w:tc>
          <w:tcPr>
            <w:tcW w:w="2977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学校主管职能部门每半年开展不少于1次安全检查；二级单位每季度开展不少于1次安全检查；实验室做到经常性检查</w:t>
            </w:r>
          </w:p>
        </w:tc>
        <w:tc>
          <w:tcPr>
            <w:tcW w:w="2940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学校主管职能部门每年开展不少于1次安全检查；二级单位每半年开展不少于1次安全检查；实验室做到经常性检查</w:t>
            </w:r>
          </w:p>
        </w:tc>
      </w:tr>
      <w:tr w:rsidR="005F1DE9">
        <w:trPr>
          <w:trHeight w:val="2834"/>
          <w:jc w:val="center"/>
        </w:trPr>
        <w:tc>
          <w:tcPr>
            <w:tcW w:w="1271" w:type="dxa"/>
            <w:vAlign w:val="center"/>
          </w:tcPr>
          <w:p w:rsidR="005F1DE9" w:rsidRDefault="007C391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安全培训</w:t>
            </w:r>
          </w:p>
        </w:tc>
        <w:tc>
          <w:tcPr>
            <w:tcW w:w="3119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实验室安全管理人员、实验人员完成不少于24学时的准入安全培训，之后每年完成不少于8学时的安全培训（以上均含应急演练）；每年开展不少于2次应急演练（含针对重要危险源的应急演练）</w:t>
            </w:r>
          </w:p>
        </w:tc>
        <w:tc>
          <w:tcPr>
            <w:tcW w:w="3118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实验室安全管理人员、实验人员完成不少于16学时的准入安全培训，之后每年完成不少于4学时的安全培训（以上均含应急演练）；每年开展不少于1次应急演练（含针对重要危险源的应急演练）</w:t>
            </w:r>
          </w:p>
        </w:tc>
        <w:tc>
          <w:tcPr>
            <w:tcW w:w="2977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实验室安全管理人员、实验人员完成不少于8学时的准入安全培训，之后每年完成不少于2学时的安全培训（以上均含应急演练）；实验室每年开展不少于1次应急演练</w:t>
            </w:r>
          </w:p>
        </w:tc>
        <w:tc>
          <w:tcPr>
            <w:tcW w:w="2940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实验室安全管理人员、实验人员完成不少于4学时的准入安全培训，之后每年根据学校实际需要安排适量的安全培训（以上均含应急演练）；每年开展不少于1次应急演练</w:t>
            </w:r>
          </w:p>
        </w:tc>
      </w:tr>
      <w:tr w:rsidR="005F1DE9">
        <w:trPr>
          <w:trHeight w:val="2894"/>
          <w:jc w:val="center"/>
        </w:trPr>
        <w:tc>
          <w:tcPr>
            <w:tcW w:w="1271" w:type="dxa"/>
            <w:vAlign w:val="center"/>
          </w:tcPr>
          <w:p w:rsidR="005F1DE9" w:rsidRDefault="007C391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安全评估</w:t>
            </w:r>
          </w:p>
        </w:tc>
        <w:tc>
          <w:tcPr>
            <w:tcW w:w="3119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科研项目、学生课题等实验活动应进行安全风险评估；涉及重要危险源的实验活动应在二级单位备案，学校不定期抽查；针对重要危险源制定相应的管理办法和应急措施，责任到人；每年开展不少于1次针对重要危险源的应急演练</w:t>
            </w:r>
          </w:p>
        </w:tc>
        <w:tc>
          <w:tcPr>
            <w:tcW w:w="3118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科研项目、学生课题等实验活动应进行安全风险评估；涉及重要危险源的实验活动应在二级单位备案，学校不定期抽查；针对重要危险源制定相应的管理办法和应急措施，责任到人；每年开展不少于1次针对重要危险源的应急演练</w:t>
            </w:r>
          </w:p>
        </w:tc>
        <w:tc>
          <w:tcPr>
            <w:tcW w:w="2977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科研项目、学生课题等实验活动应进行安全风险评估；涉及重要危险源的实验活动应在二级单位备案，二级单位不定期抽查；二级单位判断如有必要，可临时按更高等级实验室安全要求进行管理</w:t>
            </w:r>
          </w:p>
        </w:tc>
        <w:tc>
          <w:tcPr>
            <w:tcW w:w="2940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科研项目、学生课题等实验活动应进行安全风险评估；涉及重要危险源的实验活动应在二级单位备案，二级单位不定期抽查；二级单位判断如有必要，可临时按更高等级实验室安全要求进行管理</w:t>
            </w:r>
          </w:p>
        </w:tc>
      </w:tr>
      <w:tr w:rsidR="005F1DE9">
        <w:trPr>
          <w:trHeight w:val="2390"/>
          <w:jc w:val="center"/>
        </w:trPr>
        <w:tc>
          <w:tcPr>
            <w:tcW w:w="1271" w:type="dxa"/>
            <w:vAlign w:val="center"/>
          </w:tcPr>
          <w:p w:rsidR="005F1DE9" w:rsidRDefault="007C391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条件保障</w:t>
            </w:r>
          </w:p>
        </w:tc>
        <w:tc>
          <w:tcPr>
            <w:tcW w:w="3119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高风险点位安装监控和必要的监测报警装置；危化品等重要危险源存储严格执行治安管控或其他部门监管要求；配备充足的专职实验室安全管理人员；配备必要的个体防护设备设施</w:t>
            </w:r>
          </w:p>
        </w:tc>
        <w:tc>
          <w:tcPr>
            <w:tcW w:w="3118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高风险点位安装监控和必要的监测报警装置；危化品等重要危险源存储严格执行治安管控或其他部门监管要求；配备充足的专职实验室安全管理人员；配备必要的个体防护设备设施</w:t>
            </w:r>
          </w:p>
        </w:tc>
        <w:tc>
          <w:tcPr>
            <w:tcW w:w="2977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在重要风险点位安装监控和必要的监测报警装置；配备充足的兼职实验室安全管理人员；配备必要的个体防护设备设施</w:t>
            </w:r>
          </w:p>
        </w:tc>
        <w:tc>
          <w:tcPr>
            <w:tcW w:w="2940" w:type="dxa"/>
            <w:vAlign w:val="center"/>
          </w:tcPr>
          <w:p w:rsidR="005F1DE9" w:rsidRDefault="007C391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配备必要的兼职实验室安全管理人员；配备必要的个体防护设备设施</w:t>
            </w:r>
          </w:p>
        </w:tc>
      </w:tr>
    </w:tbl>
    <w:p w:rsidR="005F1DE9" w:rsidRDefault="005F1DE9">
      <w:pPr>
        <w:spacing w:line="280" w:lineRule="exact"/>
        <w:rPr>
          <w:rFonts w:ascii="Times New Roman" w:eastAsia="黑体" w:hAnsi="Times New Roman"/>
          <w:sz w:val="32"/>
          <w:szCs w:val="32"/>
        </w:rPr>
        <w:sectPr w:rsidR="005F1DE9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5F1DE9" w:rsidRDefault="005F1DE9" w:rsidP="00EB41F1">
      <w:pPr>
        <w:adjustRightInd w:val="0"/>
        <w:snapToGrid w:val="0"/>
        <w:spacing w:line="560" w:lineRule="exact"/>
        <w:jc w:val="left"/>
        <w:rPr>
          <w:rFonts w:ascii="方正仿宋_GBK" w:eastAsia="方正仿宋_GBK" w:hAnsi="仿宋" w:hint="eastAsia"/>
          <w:snapToGrid w:val="0"/>
          <w:sz w:val="28"/>
          <w:szCs w:val="32"/>
        </w:rPr>
      </w:pPr>
      <w:bookmarkStart w:id="0" w:name="_GoBack"/>
      <w:bookmarkEnd w:id="0"/>
    </w:p>
    <w:sectPr w:rsidR="005F1DE9"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AD" w:rsidRDefault="001F11AD">
      <w:r>
        <w:separator/>
      </w:r>
    </w:p>
  </w:endnote>
  <w:endnote w:type="continuationSeparator" w:id="0">
    <w:p w:rsidR="001F11AD" w:rsidRDefault="001F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等线"/>
    <w:charset w:val="86"/>
    <w:family w:val="script"/>
    <w:pitch w:val="default"/>
    <w:sig w:usb0="00000000" w:usb1="080E0000" w:usb2="0000000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045691"/>
    </w:sdtPr>
    <w:sdtEndPr/>
    <w:sdtContent>
      <w:p w:rsidR="005F1DE9" w:rsidRDefault="007C3915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 w:rsidR="005F1DE9" w:rsidRDefault="005F1D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E9" w:rsidRDefault="005F1DE9">
    <w:pPr>
      <w:pStyle w:val="a8"/>
      <w:jc w:val="right"/>
    </w:pPr>
  </w:p>
  <w:p w:rsidR="005F1DE9" w:rsidRDefault="007C391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26670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48750304"/>
                          </w:sdtPr>
                          <w:sdtEndPr/>
                          <w:sdtContent>
                            <w:p w:rsidR="005F1DE9" w:rsidRDefault="007C3915">
                              <w:pPr>
                                <w:pStyle w:val="a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B41F1" w:rsidRPr="00EB41F1">
                                <w:rPr>
                                  <w:noProof/>
                                  <w:lang w:val="zh-CN"/>
                                </w:rPr>
                                <w:t>-</w:t>
                              </w:r>
                              <w:r w:rsidR="00EB41F1">
                                <w:rPr>
                                  <w:noProof/>
                                </w:rPr>
                                <w:t xml:space="preserve"> 5 -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5F1DE9" w:rsidRDefault="005F1DE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2.1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" filled="f" fillcolor="#c7edcc [3201]" stroked="f" strokeweight=".5pt">
              <v:textbox style="mso-fit-shape-to-text:t" inset="0,0,0,0">
                <w:txbxContent>
                  <w:sdt>
                    <w:sdtPr>
                      <w:id w:val="848750304"/>
                    </w:sdtPr>
                    <w:sdtEndPr/>
                    <w:sdtContent>
                      <w:p w:rsidR="005F1DE9" w:rsidRDefault="007C3915">
                        <w:pPr>
                          <w:pStyle w:val="a8"/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B41F1" w:rsidRPr="00EB41F1">
                          <w:rPr>
                            <w:noProof/>
                            <w:lang w:val="zh-CN"/>
                          </w:rPr>
                          <w:t>-</w:t>
                        </w:r>
                        <w:r w:rsidR="00EB41F1">
                          <w:rPr>
                            <w:noProof/>
                          </w:rPr>
                          <w:t xml:space="preserve"> 5 -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5F1DE9" w:rsidRDefault="005F1DE9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E9" w:rsidRDefault="005F1DE9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E9" w:rsidRDefault="005F1D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AD" w:rsidRDefault="001F11AD">
      <w:r>
        <w:separator/>
      </w:r>
    </w:p>
  </w:footnote>
  <w:footnote w:type="continuationSeparator" w:id="0">
    <w:p w:rsidR="001F11AD" w:rsidRDefault="001F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BF89F5"/>
    <w:multiLevelType w:val="singleLevel"/>
    <w:tmpl w:val="B9BF89F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4615B6B"/>
    <w:multiLevelType w:val="singleLevel"/>
    <w:tmpl w:val="04615B6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60C5A35"/>
    <w:multiLevelType w:val="singleLevel"/>
    <w:tmpl w:val="060C5A3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3C42B9F"/>
    <w:multiLevelType w:val="singleLevel"/>
    <w:tmpl w:val="13C42B9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86805E5"/>
    <w:multiLevelType w:val="singleLevel"/>
    <w:tmpl w:val="286805E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48CE7380"/>
    <w:multiLevelType w:val="singleLevel"/>
    <w:tmpl w:val="48CE738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E121200"/>
    <w:multiLevelType w:val="singleLevel"/>
    <w:tmpl w:val="4E12120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MTg5ZDE4N2M5MTgzN2M5NjdlNDFjYjI3Y2E2MGUifQ=="/>
  </w:docVars>
  <w:rsids>
    <w:rsidRoot w:val="62557C39"/>
    <w:rsid w:val="0001508E"/>
    <w:rsid w:val="00016845"/>
    <w:rsid w:val="00047DBD"/>
    <w:rsid w:val="00071031"/>
    <w:rsid w:val="000754C4"/>
    <w:rsid w:val="001168B9"/>
    <w:rsid w:val="00124B4E"/>
    <w:rsid w:val="00130A92"/>
    <w:rsid w:val="00167D9B"/>
    <w:rsid w:val="00184DA0"/>
    <w:rsid w:val="001E0856"/>
    <w:rsid w:val="001F11AD"/>
    <w:rsid w:val="001F52CC"/>
    <w:rsid w:val="0020109E"/>
    <w:rsid w:val="002140F5"/>
    <w:rsid w:val="00250F8B"/>
    <w:rsid w:val="002612AE"/>
    <w:rsid w:val="0029396E"/>
    <w:rsid w:val="002976E9"/>
    <w:rsid w:val="00313826"/>
    <w:rsid w:val="00333157"/>
    <w:rsid w:val="003438DA"/>
    <w:rsid w:val="00381370"/>
    <w:rsid w:val="003C23BF"/>
    <w:rsid w:val="003C710A"/>
    <w:rsid w:val="00421C8C"/>
    <w:rsid w:val="00437B62"/>
    <w:rsid w:val="00443C6C"/>
    <w:rsid w:val="004471C2"/>
    <w:rsid w:val="00490E99"/>
    <w:rsid w:val="00492693"/>
    <w:rsid w:val="004C136E"/>
    <w:rsid w:val="004D5E9A"/>
    <w:rsid w:val="004E3EC2"/>
    <w:rsid w:val="004E439B"/>
    <w:rsid w:val="004E6C94"/>
    <w:rsid w:val="00504DF3"/>
    <w:rsid w:val="00541D23"/>
    <w:rsid w:val="00544D06"/>
    <w:rsid w:val="00546650"/>
    <w:rsid w:val="00556935"/>
    <w:rsid w:val="00591A69"/>
    <w:rsid w:val="00591DC7"/>
    <w:rsid w:val="005E5658"/>
    <w:rsid w:val="005F1DE9"/>
    <w:rsid w:val="00647359"/>
    <w:rsid w:val="00670DDA"/>
    <w:rsid w:val="0067470E"/>
    <w:rsid w:val="00675604"/>
    <w:rsid w:val="006C5C13"/>
    <w:rsid w:val="006D1F8C"/>
    <w:rsid w:val="006E772A"/>
    <w:rsid w:val="006F3582"/>
    <w:rsid w:val="00703EFB"/>
    <w:rsid w:val="007335DF"/>
    <w:rsid w:val="00755E93"/>
    <w:rsid w:val="007654AF"/>
    <w:rsid w:val="0077621C"/>
    <w:rsid w:val="00796B1C"/>
    <w:rsid w:val="007A314A"/>
    <w:rsid w:val="007B1258"/>
    <w:rsid w:val="007B6860"/>
    <w:rsid w:val="007C3915"/>
    <w:rsid w:val="007D084A"/>
    <w:rsid w:val="00814D49"/>
    <w:rsid w:val="0082334E"/>
    <w:rsid w:val="00857ACE"/>
    <w:rsid w:val="00885469"/>
    <w:rsid w:val="00892CED"/>
    <w:rsid w:val="008C72ED"/>
    <w:rsid w:val="00976BAB"/>
    <w:rsid w:val="00980F50"/>
    <w:rsid w:val="0098104F"/>
    <w:rsid w:val="009814FA"/>
    <w:rsid w:val="009933D9"/>
    <w:rsid w:val="009A2604"/>
    <w:rsid w:val="009A6FA1"/>
    <w:rsid w:val="009C4C5B"/>
    <w:rsid w:val="00A470A1"/>
    <w:rsid w:val="00A71D10"/>
    <w:rsid w:val="00A847F1"/>
    <w:rsid w:val="00AD0A0D"/>
    <w:rsid w:val="00AE4EE3"/>
    <w:rsid w:val="00B4139D"/>
    <w:rsid w:val="00B44FA4"/>
    <w:rsid w:val="00B47725"/>
    <w:rsid w:val="00B92C80"/>
    <w:rsid w:val="00BD2EFF"/>
    <w:rsid w:val="00BD3EEB"/>
    <w:rsid w:val="00C03BFF"/>
    <w:rsid w:val="00C16354"/>
    <w:rsid w:val="00C1731B"/>
    <w:rsid w:val="00C36C14"/>
    <w:rsid w:val="00C63B55"/>
    <w:rsid w:val="00C76BBD"/>
    <w:rsid w:val="00D8389D"/>
    <w:rsid w:val="00D91BDA"/>
    <w:rsid w:val="00DA64F8"/>
    <w:rsid w:val="00E00109"/>
    <w:rsid w:val="00E07E71"/>
    <w:rsid w:val="00E20E39"/>
    <w:rsid w:val="00E44492"/>
    <w:rsid w:val="00E4533C"/>
    <w:rsid w:val="00E52C03"/>
    <w:rsid w:val="00E934FF"/>
    <w:rsid w:val="00E970E7"/>
    <w:rsid w:val="00EA422F"/>
    <w:rsid w:val="00EB41F1"/>
    <w:rsid w:val="00EB60EB"/>
    <w:rsid w:val="00EC6D02"/>
    <w:rsid w:val="00EE4E5D"/>
    <w:rsid w:val="00F22C34"/>
    <w:rsid w:val="00F63012"/>
    <w:rsid w:val="00F82923"/>
    <w:rsid w:val="00FC5ABC"/>
    <w:rsid w:val="00FC66F5"/>
    <w:rsid w:val="01557C2F"/>
    <w:rsid w:val="01B96A0A"/>
    <w:rsid w:val="032F3D59"/>
    <w:rsid w:val="04185410"/>
    <w:rsid w:val="048E56D2"/>
    <w:rsid w:val="05137E25"/>
    <w:rsid w:val="07565CB5"/>
    <w:rsid w:val="0AC368BD"/>
    <w:rsid w:val="0B011EA4"/>
    <w:rsid w:val="0F033B2E"/>
    <w:rsid w:val="10663657"/>
    <w:rsid w:val="1153597C"/>
    <w:rsid w:val="11947B2B"/>
    <w:rsid w:val="15565BCB"/>
    <w:rsid w:val="1CEC11D1"/>
    <w:rsid w:val="1FE346CD"/>
    <w:rsid w:val="22074173"/>
    <w:rsid w:val="26AF1F7A"/>
    <w:rsid w:val="26B32966"/>
    <w:rsid w:val="26B4766F"/>
    <w:rsid w:val="28983C8D"/>
    <w:rsid w:val="2AE963FF"/>
    <w:rsid w:val="2BD5049D"/>
    <w:rsid w:val="2F1762CA"/>
    <w:rsid w:val="2FFF7FB4"/>
    <w:rsid w:val="36063A32"/>
    <w:rsid w:val="3EAF1EF2"/>
    <w:rsid w:val="3FD47033"/>
    <w:rsid w:val="40412B50"/>
    <w:rsid w:val="40732B8A"/>
    <w:rsid w:val="42132689"/>
    <w:rsid w:val="42B21882"/>
    <w:rsid w:val="456B2308"/>
    <w:rsid w:val="47C87B80"/>
    <w:rsid w:val="48C20604"/>
    <w:rsid w:val="4A346C33"/>
    <w:rsid w:val="4C353C96"/>
    <w:rsid w:val="51987729"/>
    <w:rsid w:val="5D271334"/>
    <w:rsid w:val="62557C39"/>
    <w:rsid w:val="63F22205"/>
    <w:rsid w:val="6406199C"/>
    <w:rsid w:val="64B96D77"/>
    <w:rsid w:val="64EA57EA"/>
    <w:rsid w:val="65336094"/>
    <w:rsid w:val="65F55620"/>
    <w:rsid w:val="661C1AE0"/>
    <w:rsid w:val="665B1A75"/>
    <w:rsid w:val="68657604"/>
    <w:rsid w:val="691B031F"/>
    <w:rsid w:val="6A406CE1"/>
    <w:rsid w:val="6C053ABB"/>
    <w:rsid w:val="6C2D307D"/>
    <w:rsid w:val="6C9C29A9"/>
    <w:rsid w:val="6E313C28"/>
    <w:rsid w:val="6FAB5BB3"/>
    <w:rsid w:val="73AD2EEB"/>
    <w:rsid w:val="74831773"/>
    <w:rsid w:val="75543704"/>
    <w:rsid w:val="755A4617"/>
    <w:rsid w:val="75694430"/>
    <w:rsid w:val="764D1645"/>
    <w:rsid w:val="76983573"/>
    <w:rsid w:val="77265EDC"/>
    <w:rsid w:val="77907A59"/>
    <w:rsid w:val="7AC3699A"/>
    <w:rsid w:val="7D7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1FF5AB"/>
  <w15:docId w15:val="{1E800A7C-D16F-47C4-AE26-180C9F1B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Date"/>
    <w:basedOn w:val="a"/>
    <w:next w:val="a"/>
    <w:link w:val="a5"/>
    <w:autoRedefine/>
    <w:qFormat/>
    <w:pPr>
      <w:ind w:leftChars="2500" w:left="100"/>
    </w:p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wordWrap w:val="0"/>
      <w:snapToGrid w:val="0"/>
    </w:pPr>
    <w:rPr>
      <w:rFonts w:ascii="宋体" w:hAnsi="宋体"/>
      <w:sz w:val="28"/>
      <w:szCs w:val="2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ad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="宋体" w:hAnsi="宋体"/>
      <w:kern w:val="2"/>
      <w:sz w:val="28"/>
      <w:szCs w:val="28"/>
    </w:rPr>
  </w:style>
  <w:style w:type="character" w:customStyle="1" w:styleId="a7">
    <w:name w:val="批注框文本 字符"/>
    <w:basedOn w:val="a0"/>
    <w:link w:val="a6"/>
    <w:autoRedefine/>
    <w:qFormat/>
    <w:rPr>
      <w:rFonts w:ascii="Calibri" w:eastAsia="宋体" w:hAnsi="Calibri" w:cs="Times New Roman"/>
      <w:kern w:val="2"/>
      <w:sz w:val="18"/>
      <w:szCs w:val="18"/>
    </w:rPr>
  </w:style>
  <w:style w:type="paragraph" w:styleId="ae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5">
    <w:name w:val="日期 字符"/>
    <w:basedOn w:val="a0"/>
    <w:link w:val="a4"/>
    <w:autoRedefine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3C130-B80A-4B40-8AB2-6F1602CC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561</Words>
  <Characters>3202</Characters>
  <Application>Microsoft Office Word</Application>
  <DocSecurity>0</DocSecurity>
  <Lines>26</Lines>
  <Paragraphs>7</Paragraphs>
  <ScaleCrop>false</ScaleCrop>
  <Company>P R C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74</cp:revision>
  <cp:lastPrinted>2024-05-07T10:09:00Z</cp:lastPrinted>
  <dcterms:created xsi:type="dcterms:W3CDTF">2021-05-14T02:39:00Z</dcterms:created>
  <dcterms:modified xsi:type="dcterms:W3CDTF">2024-06-12T00:56:00Z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FA1A194CBD564394A844549E2FE64050_13</vt:lpwstr>
  </property>
</Properties>
</file>